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BFF46" w14:textId="1AF45AAE" w:rsidR="00BD6185" w:rsidRPr="006E5B59" w:rsidRDefault="00375A98">
      <w:pPr>
        <w:rPr>
          <w:rFonts w:ascii="Times New Roman" w:hAnsi="Times New Roman" w:cs="Times New Roman"/>
          <w:sz w:val="24"/>
          <w:szCs w:val="24"/>
        </w:rPr>
      </w:pPr>
      <w:r w:rsidRPr="006E5B59">
        <w:rPr>
          <w:rFonts w:ascii="Times New Roman" w:hAnsi="Times New Roman" w:cs="Times New Roman"/>
          <w:sz w:val="24"/>
          <w:szCs w:val="24"/>
        </w:rPr>
        <w:t>Karla M. Hunter Teaching Philosophy</w:t>
      </w:r>
    </w:p>
    <w:p w14:paraId="47C08D4A" w14:textId="542F619D" w:rsidR="00375A98" w:rsidRPr="006E5B59" w:rsidRDefault="00375A98" w:rsidP="00375A98">
      <w:pPr>
        <w:pStyle w:val="BodyText"/>
        <w:tabs>
          <w:tab w:val="left" w:pos="9000"/>
        </w:tabs>
        <w:ind w:left="0"/>
        <w:rPr>
          <w:rFonts w:cs="Times New Roman"/>
          <w:sz w:val="24"/>
          <w:szCs w:val="24"/>
        </w:rPr>
      </w:pPr>
      <w:r w:rsidRPr="006E5B59">
        <w:rPr>
          <w:rFonts w:cs="Times New Roman"/>
          <w:b/>
          <w:bCs/>
          <w:spacing w:val="-1"/>
          <w:sz w:val="24"/>
          <w:szCs w:val="24"/>
        </w:rPr>
        <w:t xml:space="preserve">Teaching Philosophy: </w:t>
      </w:r>
      <w:r w:rsidRPr="006E5B59">
        <w:rPr>
          <w:rFonts w:cs="Times New Roman"/>
          <w:sz w:val="24"/>
          <w:szCs w:val="24"/>
        </w:rPr>
        <w:t xml:space="preserve">I </w:t>
      </w:r>
      <w:r w:rsidRPr="006E5B59">
        <w:rPr>
          <w:rFonts w:cs="Times New Roman"/>
          <w:spacing w:val="-1"/>
          <w:sz w:val="24"/>
          <w:szCs w:val="24"/>
        </w:rPr>
        <w:t>resonate</w:t>
      </w:r>
      <w:r w:rsidRPr="006E5B59">
        <w:rPr>
          <w:rFonts w:cs="Times New Roman"/>
          <w:spacing w:val="2"/>
          <w:sz w:val="24"/>
          <w:szCs w:val="24"/>
        </w:rPr>
        <w:t xml:space="preserve"> </w:t>
      </w:r>
      <w:r w:rsidRPr="006E5B59">
        <w:rPr>
          <w:rFonts w:cs="Times New Roman"/>
          <w:spacing w:val="-2"/>
          <w:sz w:val="24"/>
          <w:szCs w:val="24"/>
        </w:rPr>
        <w:t>with</w:t>
      </w:r>
      <w:r w:rsidRPr="006E5B59">
        <w:rPr>
          <w:rFonts w:cs="Times New Roman"/>
          <w:sz w:val="24"/>
          <w:szCs w:val="24"/>
        </w:rPr>
        <w:t xml:space="preserve"> a </w:t>
      </w:r>
      <w:r w:rsidRPr="006E5B59">
        <w:rPr>
          <w:rFonts w:cs="Times New Roman"/>
          <w:spacing w:val="-1"/>
          <w:sz w:val="24"/>
          <w:szCs w:val="24"/>
        </w:rPr>
        <w:t>number</w:t>
      </w:r>
      <w:r w:rsidRPr="006E5B59">
        <w:rPr>
          <w:rFonts w:cs="Times New Roman"/>
          <w:spacing w:val="1"/>
          <w:sz w:val="24"/>
          <w:szCs w:val="24"/>
        </w:rPr>
        <w:t xml:space="preserve"> </w:t>
      </w:r>
      <w:r w:rsidRPr="006E5B59">
        <w:rPr>
          <w:rFonts w:cs="Times New Roman"/>
          <w:spacing w:val="-2"/>
          <w:sz w:val="24"/>
          <w:szCs w:val="24"/>
        </w:rPr>
        <w:t>of</w:t>
      </w:r>
      <w:r w:rsidRPr="006E5B59">
        <w:rPr>
          <w:rFonts w:cs="Times New Roman"/>
          <w:spacing w:val="1"/>
          <w:sz w:val="24"/>
          <w:szCs w:val="24"/>
        </w:rPr>
        <w:t xml:space="preserve"> </w:t>
      </w:r>
      <w:r w:rsidRPr="006E5B59">
        <w:rPr>
          <w:rFonts w:cs="Times New Roman"/>
          <w:spacing w:val="-1"/>
          <w:sz w:val="24"/>
          <w:szCs w:val="24"/>
        </w:rPr>
        <w:t>ancient</w:t>
      </w:r>
      <w:r w:rsidRPr="006E5B59">
        <w:rPr>
          <w:rFonts w:cs="Times New Roman"/>
          <w:spacing w:val="-2"/>
          <w:sz w:val="24"/>
          <w:szCs w:val="24"/>
        </w:rPr>
        <w:t xml:space="preserve"> </w:t>
      </w:r>
      <w:r w:rsidRPr="006E5B59">
        <w:rPr>
          <w:rFonts w:cs="Times New Roman"/>
          <w:spacing w:val="-1"/>
          <w:sz w:val="24"/>
          <w:szCs w:val="24"/>
        </w:rPr>
        <w:t>Hebrew</w:t>
      </w:r>
      <w:r w:rsidRPr="006E5B59">
        <w:rPr>
          <w:rFonts w:cs="Times New Roman"/>
          <w:spacing w:val="1"/>
          <w:sz w:val="24"/>
          <w:szCs w:val="24"/>
        </w:rPr>
        <w:t xml:space="preserve"> </w:t>
      </w:r>
      <w:r w:rsidRPr="006E5B59">
        <w:rPr>
          <w:rFonts w:cs="Times New Roman"/>
          <w:spacing w:val="-1"/>
          <w:sz w:val="24"/>
          <w:szCs w:val="24"/>
        </w:rPr>
        <w:t xml:space="preserve">words pertinent to teaching: </w:t>
      </w:r>
      <w:proofErr w:type="spellStart"/>
      <w:r w:rsidRPr="006E5B59">
        <w:rPr>
          <w:rFonts w:cs="Times New Roman"/>
          <w:i/>
          <w:spacing w:val="-1"/>
          <w:sz w:val="24"/>
          <w:szCs w:val="24"/>
        </w:rPr>
        <w:t>Alaph</w:t>
      </w:r>
      <w:proofErr w:type="spellEnd"/>
      <w:r w:rsidRPr="006E5B59">
        <w:rPr>
          <w:rFonts w:cs="Times New Roman"/>
          <w:i/>
          <w:spacing w:val="-1"/>
          <w:sz w:val="24"/>
          <w:szCs w:val="24"/>
        </w:rPr>
        <w:t xml:space="preserve">, </w:t>
      </w:r>
      <w:proofErr w:type="spellStart"/>
      <w:r w:rsidRPr="006E5B59">
        <w:rPr>
          <w:rFonts w:cs="Times New Roman"/>
          <w:i/>
          <w:spacing w:val="-1"/>
          <w:sz w:val="24"/>
          <w:szCs w:val="24"/>
        </w:rPr>
        <w:t>Zahar</w:t>
      </w:r>
      <w:proofErr w:type="spellEnd"/>
      <w:r w:rsidRPr="006E5B59">
        <w:rPr>
          <w:rFonts w:cs="Times New Roman"/>
          <w:i/>
          <w:spacing w:val="-1"/>
          <w:sz w:val="24"/>
          <w:szCs w:val="24"/>
        </w:rPr>
        <w:t xml:space="preserve">, </w:t>
      </w:r>
      <w:r w:rsidRPr="006E5B59">
        <w:rPr>
          <w:rFonts w:cs="Times New Roman"/>
          <w:spacing w:val="-1"/>
          <w:sz w:val="24"/>
          <w:szCs w:val="24"/>
        </w:rPr>
        <w:t>and</w:t>
      </w:r>
      <w:r w:rsidRPr="006E5B59">
        <w:rPr>
          <w:rFonts w:cs="Times New Roman"/>
          <w:i/>
          <w:spacing w:val="-1"/>
          <w:sz w:val="24"/>
          <w:szCs w:val="24"/>
        </w:rPr>
        <w:t xml:space="preserve"> </w:t>
      </w:r>
      <w:proofErr w:type="spellStart"/>
      <w:r w:rsidRPr="006E5B59">
        <w:rPr>
          <w:rFonts w:cs="Times New Roman"/>
          <w:i/>
          <w:spacing w:val="-1"/>
          <w:sz w:val="24"/>
          <w:szCs w:val="24"/>
        </w:rPr>
        <w:t>Lamad</w:t>
      </w:r>
      <w:proofErr w:type="spellEnd"/>
      <w:r w:rsidRPr="006E5B59">
        <w:rPr>
          <w:rFonts w:cs="Times New Roman"/>
          <w:spacing w:val="-1"/>
          <w:sz w:val="24"/>
          <w:szCs w:val="24"/>
        </w:rPr>
        <w:t>. Translated, they are befriend, enlighten, and learn—words that reflect my</w:t>
      </w:r>
      <w:r w:rsidRPr="006E5B59">
        <w:rPr>
          <w:rFonts w:cs="Times New Roman"/>
          <w:sz w:val="24"/>
          <w:szCs w:val="24"/>
        </w:rPr>
        <w:t xml:space="preserve"> student-centered approach. The</w:t>
      </w:r>
      <w:r w:rsidRPr="006E5B59">
        <w:rPr>
          <w:rFonts w:cs="Times New Roman"/>
          <w:spacing w:val="-2"/>
          <w:sz w:val="24"/>
          <w:szCs w:val="24"/>
        </w:rPr>
        <w:t xml:space="preserve"> </w:t>
      </w:r>
      <w:r w:rsidRPr="006E5B59">
        <w:rPr>
          <w:rFonts w:cs="Times New Roman"/>
          <w:spacing w:val="-1"/>
          <w:sz w:val="24"/>
          <w:szCs w:val="24"/>
        </w:rPr>
        <w:t>foundation</w:t>
      </w:r>
      <w:r w:rsidRPr="006E5B59">
        <w:rPr>
          <w:rFonts w:cs="Times New Roman"/>
          <w:sz w:val="24"/>
          <w:szCs w:val="24"/>
        </w:rPr>
        <w:t xml:space="preserve"> of </w:t>
      </w:r>
      <w:r w:rsidRPr="006E5B59">
        <w:rPr>
          <w:rFonts w:cs="Times New Roman"/>
          <w:spacing w:val="-2"/>
          <w:sz w:val="24"/>
          <w:szCs w:val="24"/>
        </w:rPr>
        <w:t>my</w:t>
      </w:r>
      <w:r w:rsidRPr="006E5B59">
        <w:rPr>
          <w:rFonts w:cs="Times New Roman"/>
          <w:spacing w:val="-3"/>
          <w:sz w:val="24"/>
          <w:szCs w:val="24"/>
        </w:rPr>
        <w:t xml:space="preserve"> </w:t>
      </w:r>
      <w:r w:rsidRPr="006E5B59">
        <w:rPr>
          <w:rFonts w:cs="Times New Roman"/>
          <w:spacing w:val="-1"/>
          <w:sz w:val="24"/>
          <w:szCs w:val="24"/>
        </w:rPr>
        <w:t>teaching</w:t>
      </w:r>
      <w:r w:rsidRPr="006E5B59">
        <w:rPr>
          <w:rFonts w:cs="Times New Roman"/>
          <w:spacing w:val="-3"/>
          <w:sz w:val="24"/>
          <w:szCs w:val="24"/>
        </w:rPr>
        <w:t xml:space="preserve"> </w:t>
      </w:r>
      <w:r w:rsidRPr="006E5B59">
        <w:rPr>
          <w:rFonts w:cs="Times New Roman"/>
          <w:spacing w:val="-1"/>
          <w:sz w:val="24"/>
          <w:szCs w:val="24"/>
        </w:rPr>
        <w:t xml:space="preserve">philosophy lies in </w:t>
      </w:r>
      <w:r w:rsidRPr="006E5B59">
        <w:rPr>
          <w:rFonts w:cs="Times New Roman"/>
          <w:spacing w:val="-2"/>
          <w:sz w:val="24"/>
          <w:szCs w:val="24"/>
        </w:rPr>
        <w:t xml:space="preserve">my belief </w:t>
      </w:r>
      <w:r w:rsidRPr="006E5B59">
        <w:rPr>
          <w:rFonts w:cs="Times New Roman"/>
          <w:spacing w:val="-1"/>
          <w:sz w:val="24"/>
          <w:szCs w:val="24"/>
        </w:rPr>
        <w:t>that</w:t>
      </w:r>
      <w:r w:rsidRPr="006E5B59">
        <w:rPr>
          <w:rFonts w:cs="Times New Roman"/>
          <w:spacing w:val="1"/>
          <w:sz w:val="24"/>
          <w:szCs w:val="24"/>
        </w:rPr>
        <w:t xml:space="preserve"> </w:t>
      </w:r>
      <w:r w:rsidRPr="006E5B59">
        <w:rPr>
          <w:rFonts w:cs="Times New Roman"/>
          <w:spacing w:val="-1"/>
          <w:sz w:val="24"/>
          <w:szCs w:val="24"/>
        </w:rPr>
        <w:t>inspiring</w:t>
      </w:r>
      <w:r w:rsidRPr="006E5B59">
        <w:rPr>
          <w:rFonts w:cs="Times New Roman"/>
          <w:spacing w:val="-3"/>
          <w:sz w:val="24"/>
          <w:szCs w:val="24"/>
        </w:rPr>
        <w:t xml:space="preserve"> </w:t>
      </w:r>
      <w:r w:rsidRPr="006E5B59">
        <w:rPr>
          <w:rFonts w:cs="Times New Roman"/>
          <w:spacing w:val="-1"/>
          <w:sz w:val="24"/>
          <w:szCs w:val="24"/>
        </w:rPr>
        <w:t>students</w:t>
      </w:r>
      <w:r w:rsidRPr="006E5B59">
        <w:rPr>
          <w:rFonts w:cs="Times New Roman"/>
          <w:spacing w:val="-2"/>
          <w:sz w:val="24"/>
          <w:szCs w:val="24"/>
        </w:rPr>
        <w:t xml:space="preserve"> </w:t>
      </w:r>
      <w:r w:rsidRPr="006E5B59">
        <w:rPr>
          <w:rFonts w:cs="Times New Roman"/>
          <w:sz w:val="24"/>
          <w:szCs w:val="24"/>
        </w:rPr>
        <w:t xml:space="preserve">to </w:t>
      </w:r>
      <w:r w:rsidRPr="006E5B59">
        <w:rPr>
          <w:rFonts w:cs="Times New Roman"/>
          <w:spacing w:val="-1"/>
          <w:sz w:val="24"/>
          <w:szCs w:val="24"/>
        </w:rPr>
        <w:t>build lifelong</w:t>
      </w:r>
      <w:r w:rsidRPr="006E5B59">
        <w:rPr>
          <w:rFonts w:cs="Times New Roman"/>
          <w:spacing w:val="-3"/>
          <w:sz w:val="24"/>
          <w:szCs w:val="24"/>
        </w:rPr>
        <w:t xml:space="preserve"> </w:t>
      </w:r>
      <w:r w:rsidRPr="006E5B59">
        <w:rPr>
          <w:rFonts w:cs="Times New Roman"/>
          <w:spacing w:val="-1"/>
          <w:sz w:val="24"/>
          <w:szCs w:val="24"/>
        </w:rPr>
        <w:t>competencies,</w:t>
      </w:r>
      <w:r w:rsidRPr="006E5B59">
        <w:rPr>
          <w:rFonts w:cs="Times New Roman"/>
          <w:spacing w:val="1"/>
          <w:sz w:val="24"/>
          <w:szCs w:val="24"/>
        </w:rPr>
        <w:t xml:space="preserve"> </w:t>
      </w:r>
      <w:r w:rsidRPr="006E5B59">
        <w:rPr>
          <w:rFonts w:cs="Times New Roman"/>
          <w:sz w:val="24"/>
          <w:szCs w:val="24"/>
        </w:rPr>
        <w:t xml:space="preserve">a </w:t>
      </w:r>
      <w:r w:rsidRPr="006E5B59">
        <w:rPr>
          <w:rFonts w:cs="Times New Roman"/>
          <w:spacing w:val="-1"/>
          <w:sz w:val="24"/>
          <w:szCs w:val="24"/>
        </w:rPr>
        <w:t>love</w:t>
      </w:r>
      <w:r w:rsidRPr="006E5B59">
        <w:rPr>
          <w:rFonts w:cs="Times New Roman"/>
          <w:sz w:val="24"/>
          <w:szCs w:val="24"/>
        </w:rPr>
        <w:t xml:space="preserve"> </w:t>
      </w:r>
      <w:r w:rsidRPr="006E5B59">
        <w:rPr>
          <w:rFonts w:cs="Times New Roman"/>
          <w:spacing w:val="-1"/>
          <w:sz w:val="24"/>
          <w:szCs w:val="24"/>
        </w:rPr>
        <w:t>of</w:t>
      </w:r>
      <w:r w:rsidRPr="006E5B59">
        <w:rPr>
          <w:rFonts w:cs="Times New Roman"/>
          <w:spacing w:val="-2"/>
          <w:sz w:val="24"/>
          <w:szCs w:val="24"/>
        </w:rPr>
        <w:t xml:space="preserve"> </w:t>
      </w:r>
      <w:r w:rsidRPr="006E5B59">
        <w:rPr>
          <w:rFonts w:cs="Times New Roman"/>
          <w:spacing w:val="-1"/>
          <w:sz w:val="24"/>
          <w:szCs w:val="24"/>
        </w:rPr>
        <w:t>learning,</w:t>
      </w:r>
      <w:r w:rsidRPr="006E5B59">
        <w:rPr>
          <w:rFonts w:cs="Times New Roman"/>
          <w:sz w:val="24"/>
          <w:szCs w:val="24"/>
        </w:rPr>
        <w:t xml:space="preserve"> and</w:t>
      </w:r>
      <w:r w:rsidRPr="006E5B59">
        <w:rPr>
          <w:rFonts w:cs="Times New Roman"/>
          <w:spacing w:val="-2"/>
          <w:sz w:val="24"/>
          <w:szCs w:val="24"/>
        </w:rPr>
        <w:t xml:space="preserve"> </w:t>
      </w:r>
      <w:r w:rsidRPr="006E5B59">
        <w:rPr>
          <w:rFonts w:cs="Times New Roman"/>
          <w:spacing w:val="-1"/>
          <w:sz w:val="24"/>
          <w:szCs w:val="24"/>
        </w:rPr>
        <w:t>meaningful</w:t>
      </w:r>
      <w:r w:rsidRPr="006E5B59">
        <w:rPr>
          <w:rFonts w:cs="Times New Roman"/>
          <w:spacing w:val="1"/>
          <w:sz w:val="24"/>
          <w:szCs w:val="24"/>
        </w:rPr>
        <w:t xml:space="preserve"> </w:t>
      </w:r>
      <w:r w:rsidRPr="006E5B59">
        <w:rPr>
          <w:rFonts w:cs="Times New Roman"/>
          <w:spacing w:val="-1"/>
          <w:sz w:val="24"/>
          <w:szCs w:val="24"/>
        </w:rPr>
        <w:t>applications</w:t>
      </w:r>
      <w:r w:rsidRPr="006E5B59">
        <w:rPr>
          <w:rFonts w:cs="Times New Roman"/>
          <w:sz w:val="24"/>
          <w:szCs w:val="24"/>
        </w:rPr>
        <w:t xml:space="preserve"> </w:t>
      </w:r>
      <w:r w:rsidRPr="006E5B59">
        <w:rPr>
          <w:rFonts w:cs="Times New Roman"/>
          <w:spacing w:val="-1"/>
          <w:sz w:val="24"/>
          <w:szCs w:val="24"/>
        </w:rPr>
        <w:t>of</w:t>
      </w:r>
      <w:r w:rsidRPr="006E5B59">
        <w:rPr>
          <w:rFonts w:cs="Times New Roman"/>
          <w:sz w:val="24"/>
          <w:szCs w:val="24"/>
        </w:rPr>
        <w:t xml:space="preserve"> </w:t>
      </w:r>
      <w:r w:rsidRPr="006E5B59">
        <w:rPr>
          <w:rFonts w:cs="Times New Roman"/>
          <w:spacing w:val="-1"/>
          <w:sz w:val="24"/>
          <w:szCs w:val="24"/>
        </w:rPr>
        <w:t>their</w:t>
      </w:r>
      <w:r w:rsidRPr="006E5B59">
        <w:rPr>
          <w:rFonts w:cs="Times New Roman"/>
          <w:spacing w:val="-2"/>
          <w:sz w:val="24"/>
          <w:szCs w:val="24"/>
        </w:rPr>
        <w:t xml:space="preserve"> </w:t>
      </w:r>
      <w:r w:rsidRPr="006E5B59">
        <w:rPr>
          <w:rFonts w:cs="Times New Roman"/>
          <w:spacing w:val="-1"/>
          <w:sz w:val="24"/>
          <w:szCs w:val="24"/>
        </w:rPr>
        <w:t>skills</w:t>
      </w:r>
      <w:r w:rsidRPr="006E5B59">
        <w:rPr>
          <w:rFonts w:cs="Times New Roman"/>
          <w:spacing w:val="4"/>
          <w:sz w:val="24"/>
          <w:szCs w:val="24"/>
        </w:rPr>
        <w:t xml:space="preserve"> </w:t>
      </w:r>
      <w:r w:rsidRPr="006E5B59">
        <w:rPr>
          <w:rFonts w:cs="Times New Roman"/>
          <w:spacing w:val="-1"/>
          <w:sz w:val="24"/>
          <w:szCs w:val="24"/>
        </w:rPr>
        <w:t>starts</w:t>
      </w:r>
      <w:r w:rsidRPr="006E5B59">
        <w:rPr>
          <w:rFonts w:cs="Times New Roman"/>
          <w:sz w:val="24"/>
          <w:szCs w:val="24"/>
        </w:rPr>
        <w:t xml:space="preserve"> </w:t>
      </w:r>
      <w:r w:rsidRPr="006E5B59">
        <w:rPr>
          <w:rFonts w:cs="Times New Roman"/>
          <w:spacing w:val="-1"/>
          <w:sz w:val="24"/>
          <w:szCs w:val="24"/>
        </w:rPr>
        <w:t>with</w:t>
      </w:r>
      <w:r w:rsidRPr="006E5B59">
        <w:rPr>
          <w:rFonts w:cs="Times New Roman"/>
          <w:sz w:val="24"/>
          <w:szCs w:val="24"/>
        </w:rPr>
        <w:t xml:space="preserve"> a </w:t>
      </w:r>
      <w:r w:rsidRPr="006E5B59">
        <w:rPr>
          <w:rFonts w:cs="Times New Roman"/>
          <w:spacing w:val="-1"/>
          <w:sz w:val="24"/>
          <w:szCs w:val="24"/>
        </w:rPr>
        <w:t>firm resolve</w:t>
      </w:r>
      <w:r w:rsidRPr="006E5B59">
        <w:rPr>
          <w:rFonts w:cs="Times New Roman"/>
          <w:spacing w:val="1"/>
          <w:sz w:val="24"/>
          <w:szCs w:val="24"/>
        </w:rPr>
        <w:t xml:space="preserve"> </w:t>
      </w:r>
      <w:r w:rsidRPr="006E5B59">
        <w:rPr>
          <w:rFonts w:cs="Times New Roman"/>
          <w:sz w:val="24"/>
          <w:szCs w:val="24"/>
        </w:rPr>
        <w:t xml:space="preserve">to </w:t>
      </w:r>
      <w:r w:rsidRPr="006E5B59">
        <w:rPr>
          <w:rFonts w:cs="Times New Roman"/>
          <w:spacing w:val="-1"/>
          <w:sz w:val="24"/>
          <w:szCs w:val="24"/>
        </w:rPr>
        <w:t>making individual</w:t>
      </w:r>
      <w:r w:rsidRPr="006E5B59">
        <w:rPr>
          <w:rFonts w:cs="Times New Roman"/>
          <w:spacing w:val="1"/>
          <w:sz w:val="24"/>
          <w:szCs w:val="24"/>
        </w:rPr>
        <w:t xml:space="preserve"> </w:t>
      </w:r>
      <w:r w:rsidRPr="006E5B59">
        <w:rPr>
          <w:rFonts w:cs="Times New Roman"/>
          <w:spacing w:val="-1"/>
          <w:sz w:val="24"/>
          <w:szCs w:val="24"/>
        </w:rPr>
        <w:t>connections</w:t>
      </w:r>
      <w:r w:rsidRPr="006E5B59">
        <w:rPr>
          <w:rFonts w:cs="Times New Roman"/>
          <w:spacing w:val="1"/>
          <w:sz w:val="24"/>
          <w:szCs w:val="24"/>
        </w:rPr>
        <w:t xml:space="preserve"> </w:t>
      </w:r>
      <w:r w:rsidRPr="006E5B59">
        <w:rPr>
          <w:rFonts w:cs="Times New Roman"/>
          <w:spacing w:val="-1"/>
          <w:sz w:val="24"/>
          <w:szCs w:val="24"/>
        </w:rPr>
        <w:t>with</w:t>
      </w:r>
      <w:r w:rsidRPr="006E5B59">
        <w:rPr>
          <w:rFonts w:cs="Times New Roman"/>
          <w:sz w:val="24"/>
          <w:szCs w:val="24"/>
        </w:rPr>
        <w:t xml:space="preserve"> </w:t>
      </w:r>
      <w:r w:rsidRPr="006E5B59">
        <w:rPr>
          <w:rFonts w:cs="Times New Roman"/>
          <w:spacing w:val="-1"/>
          <w:sz w:val="24"/>
          <w:szCs w:val="24"/>
        </w:rPr>
        <w:t>them</w:t>
      </w:r>
      <w:r w:rsidRPr="006E5B59">
        <w:rPr>
          <w:rFonts w:cs="Times New Roman"/>
          <w:spacing w:val="-4"/>
          <w:sz w:val="24"/>
          <w:szCs w:val="24"/>
        </w:rPr>
        <w:t xml:space="preserve"> </w:t>
      </w:r>
      <w:r w:rsidRPr="006E5B59">
        <w:rPr>
          <w:rFonts w:cs="Times New Roman"/>
          <w:sz w:val="24"/>
          <w:szCs w:val="24"/>
        </w:rPr>
        <w:t xml:space="preserve">as </w:t>
      </w:r>
      <w:r w:rsidRPr="006E5B59">
        <w:rPr>
          <w:rFonts w:cs="Times New Roman"/>
          <w:spacing w:val="-1"/>
          <w:sz w:val="24"/>
          <w:szCs w:val="24"/>
        </w:rPr>
        <w:t>people,</w:t>
      </w:r>
      <w:r w:rsidRPr="006E5B59">
        <w:rPr>
          <w:rFonts w:cs="Times New Roman"/>
          <w:sz w:val="24"/>
          <w:szCs w:val="24"/>
        </w:rPr>
        <w:t xml:space="preserve"> </w:t>
      </w:r>
      <w:r w:rsidRPr="006E5B59">
        <w:rPr>
          <w:rFonts w:cs="Times New Roman"/>
          <w:spacing w:val="-1"/>
          <w:sz w:val="24"/>
          <w:szCs w:val="24"/>
        </w:rPr>
        <w:t>whether</w:t>
      </w:r>
      <w:r w:rsidRPr="006E5B59">
        <w:rPr>
          <w:rFonts w:cs="Times New Roman"/>
          <w:sz w:val="24"/>
          <w:szCs w:val="24"/>
        </w:rPr>
        <w:t xml:space="preserve"> </w:t>
      </w:r>
      <w:r w:rsidRPr="006E5B59">
        <w:rPr>
          <w:rFonts w:cs="Times New Roman"/>
          <w:spacing w:val="-1"/>
          <w:sz w:val="24"/>
          <w:szCs w:val="24"/>
        </w:rPr>
        <w:t>face-to-face</w:t>
      </w:r>
      <w:r w:rsidRPr="006E5B59">
        <w:rPr>
          <w:rFonts w:cs="Times New Roman"/>
          <w:sz w:val="24"/>
          <w:szCs w:val="24"/>
        </w:rPr>
        <w:t xml:space="preserve"> or</w:t>
      </w:r>
      <w:r w:rsidRPr="006E5B59">
        <w:rPr>
          <w:rFonts w:cs="Times New Roman"/>
          <w:spacing w:val="1"/>
          <w:sz w:val="24"/>
          <w:szCs w:val="24"/>
        </w:rPr>
        <w:t xml:space="preserve"> </w:t>
      </w:r>
      <w:r w:rsidRPr="006E5B59">
        <w:rPr>
          <w:rFonts w:cs="Times New Roman"/>
          <w:spacing w:val="-1"/>
          <w:sz w:val="24"/>
          <w:szCs w:val="24"/>
        </w:rPr>
        <w:t xml:space="preserve">online. </w:t>
      </w:r>
    </w:p>
    <w:p w14:paraId="40F91A23" w14:textId="77777777" w:rsidR="00375A98" w:rsidRPr="006E5B59" w:rsidRDefault="00375A98" w:rsidP="00375A98">
      <w:pPr>
        <w:pStyle w:val="BodyText"/>
        <w:tabs>
          <w:tab w:val="left" w:pos="9000"/>
        </w:tabs>
        <w:ind w:left="0"/>
        <w:rPr>
          <w:rFonts w:cs="Times New Roman"/>
          <w:sz w:val="24"/>
          <w:szCs w:val="24"/>
        </w:rPr>
      </w:pPr>
    </w:p>
    <w:p w14:paraId="2F6C8AC8" w14:textId="21F2332A" w:rsidR="00375A98" w:rsidRPr="006E5B59" w:rsidRDefault="00375A98" w:rsidP="00375A98">
      <w:pPr>
        <w:pStyle w:val="BodyText"/>
        <w:tabs>
          <w:tab w:val="left" w:pos="9000"/>
        </w:tabs>
        <w:ind w:left="0"/>
        <w:rPr>
          <w:rFonts w:cs="Times New Roman"/>
          <w:sz w:val="24"/>
          <w:szCs w:val="24"/>
        </w:rPr>
      </w:pPr>
      <w:r w:rsidRPr="006E5B59">
        <w:rPr>
          <w:rFonts w:cs="Times New Roman"/>
          <w:b/>
          <w:sz w:val="24"/>
          <w:szCs w:val="24"/>
        </w:rPr>
        <w:t xml:space="preserve">Teaching Methods: </w:t>
      </w:r>
      <w:r w:rsidRPr="006E5B59">
        <w:rPr>
          <w:rFonts w:cs="Times New Roman"/>
          <w:spacing w:val="-1"/>
          <w:sz w:val="24"/>
          <w:szCs w:val="24"/>
        </w:rPr>
        <w:t xml:space="preserve">The connections central to my teaching philosophy are bolstered by my commitment to </w:t>
      </w:r>
      <w:r w:rsidRPr="006E5B59">
        <w:rPr>
          <w:rFonts w:cs="Times New Roman"/>
          <w:sz w:val="24"/>
          <w:szCs w:val="24"/>
        </w:rPr>
        <w:t>ground my teaching in four principles of evidence-based best practices. The success of these practices has resulted in a number of invitations to share my experiences with fellow faculty</w:t>
      </w:r>
      <w:r w:rsidR="006E5B59" w:rsidRPr="006E5B59">
        <w:rPr>
          <w:rFonts w:cs="Times New Roman"/>
          <w:sz w:val="24"/>
          <w:szCs w:val="24"/>
        </w:rPr>
        <w:t xml:space="preserve"> </w:t>
      </w:r>
      <w:r w:rsidR="00A10F65" w:rsidRPr="006E5B59">
        <w:rPr>
          <w:rFonts w:cs="Times New Roman"/>
          <w:sz w:val="24"/>
          <w:szCs w:val="24"/>
        </w:rPr>
        <w:t>nationally and internationally.</w:t>
      </w:r>
    </w:p>
    <w:p w14:paraId="7214DADE" w14:textId="77777777" w:rsidR="00375A98" w:rsidRPr="006E5B59" w:rsidRDefault="00375A98" w:rsidP="00375A98">
      <w:pPr>
        <w:pStyle w:val="BodyText"/>
        <w:tabs>
          <w:tab w:val="left" w:pos="9000"/>
        </w:tabs>
        <w:ind w:left="0"/>
        <w:rPr>
          <w:rFonts w:cs="Times New Roman"/>
          <w:i/>
          <w:sz w:val="24"/>
          <w:szCs w:val="24"/>
        </w:rPr>
      </w:pPr>
    </w:p>
    <w:p w14:paraId="251D6A0A" w14:textId="77777777" w:rsidR="00375A98" w:rsidRPr="006E5B59" w:rsidRDefault="00375A98" w:rsidP="00375A98">
      <w:pPr>
        <w:pStyle w:val="BodyText"/>
        <w:tabs>
          <w:tab w:val="left" w:pos="9000"/>
        </w:tabs>
        <w:ind w:left="0"/>
        <w:rPr>
          <w:rFonts w:cs="Times New Roman"/>
          <w:sz w:val="24"/>
          <w:szCs w:val="24"/>
        </w:rPr>
      </w:pPr>
      <w:r w:rsidRPr="006E5B59">
        <w:rPr>
          <w:rFonts w:cs="Times New Roman"/>
          <w:i/>
          <w:sz w:val="24"/>
          <w:szCs w:val="24"/>
        </w:rPr>
        <w:t>1) Instructor immediacy/presence.</w:t>
      </w:r>
      <w:r w:rsidRPr="006E5B59">
        <w:rPr>
          <w:rFonts w:cs="Times New Roman"/>
          <w:b/>
          <w:sz w:val="24"/>
          <w:szCs w:val="24"/>
        </w:rPr>
        <w:t xml:space="preserve"> </w:t>
      </w:r>
      <w:r w:rsidRPr="006E5B59">
        <w:rPr>
          <w:rFonts w:cs="Times New Roman"/>
          <w:sz w:val="24"/>
          <w:szCs w:val="24"/>
        </w:rPr>
        <w:t>Both face-to-face and online, I employ strategies to decrease the psychological distance between my students and me. Grading major assignments via</w:t>
      </w:r>
      <w:r w:rsidRPr="006E5B59">
        <w:rPr>
          <w:rFonts w:cs="Times New Roman"/>
          <w:b/>
          <w:sz w:val="24"/>
          <w:szCs w:val="24"/>
        </w:rPr>
        <w:t xml:space="preserve"> </w:t>
      </w:r>
      <w:r w:rsidRPr="006E5B59">
        <w:rPr>
          <w:rFonts w:cs="Times New Roman"/>
          <w:sz w:val="24"/>
          <w:szCs w:val="24"/>
        </w:rPr>
        <w:t>rubrics in SDSU’s online learning system (Desire to Learn or “D2L”), for instance, allows me to give deep student feedback relatively quickly, allowing me to connect personally with each student through an individualized letter or audio-recording in their Dropbox feedback. Due to strong, positive student responses, I was invited by SDSU’s Instructional Design Services (IDS) to share this method of student engagement in “Optimal Connection Speed: Enhancing Online Instructor Immediacy,” a training for faculty members from across disciplines who are currently working toward their IDS Online Instructor Certification. Online immediacy is also the theme of my portion of a November 2019 multi-institutional team presentation titled “Surviving and Thriving Teaching Communication Online,” a National Communication Association (NCA) pre-conference workshop.</w:t>
      </w:r>
    </w:p>
    <w:p w14:paraId="7479D0FB" w14:textId="77777777" w:rsidR="00375A98" w:rsidRPr="006E5B59" w:rsidRDefault="00375A98" w:rsidP="00375A98">
      <w:pPr>
        <w:pStyle w:val="BodyText"/>
        <w:tabs>
          <w:tab w:val="left" w:pos="9000"/>
        </w:tabs>
        <w:ind w:left="0"/>
        <w:rPr>
          <w:rFonts w:cs="Times New Roman"/>
          <w:spacing w:val="-1"/>
          <w:sz w:val="24"/>
          <w:szCs w:val="24"/>
        </w:rPr>
      </w:pPr>
    </w:p>
    <w:p w14:paraId="005314BD" w14:textId="77777777" w:rsidR="00375A98" w:rsidRPr="006E5B59" w:rsidRDefault="00375A98" w:rsidP="00375A98">
      <w:pPr>
        <w:pStyle w:val="BodyText"/>
        <w:tabs>
          <w:tab w:val="left" w:pos="461"/>
          <w:tab w:val="left" w:pos="9000"/>
        </w:tabs>
        <w:ind w:left="0"/>
        <w:rPr>
          <w:rFonts w:cs="Times New Roman"/>
          <w:sz w:val="24"/>
          <w:szCs w:val="24"/>
        </w:rPr>
      </w:pPr>
      <w:r w:rsidRPr="006E5B59">
        <w:rPr>
          <w:rFonts w:cs="Times New Roman"/>
          <w:i/>
          <w:sz w:val="24"/>
          <w:szCs w:val="24"/>
        </w:rPr>
        <w:t>2) Course Community.</w:t>
      </w:r>
      <w:r w:rsidRPr="006E5B59">
        <w:rPr>
          <w:rFonts w:cs="Times New Roman"/>
          <w:sz w:val="24"/>
          <w:szCs w:val="24"/>
        </w:rPr>
        <w:t xml:space="preserve"> When invited to share my tips for online course community building in SDSU’s IDS newsletter, I asserted, “Assigning students to small, collaborative discussion groups throughout the semester can help. Students report being surprised that they can interact so much in an online course and that their discussions enhance their experiences in the class.” </w:t>
      </w:r>
    </w:p>
    <w:p w14:paraId="0E4F4B57" w14:textId="77777777" w:rsidR="00375A98" w:rsidRPr="006E5B59" w:rsidRDefault="00375A98" w:rsidP="00375A98">
      <w:pPr>
        <w:pStyle w:val="BodyText"/>
        <w:tabs>
          <w:tab w:val="left" w:pos="461"/>
          <w:tab w:val="left" w:pos="9000"/>
        </w:tabs>
        <w:ind w:left="0"/>
        <w:rPr>
          <w:rFonts w:cs="Times New Roman"/>
          <w:sz w:val="24"/>
          <w:szCs w:val="24"/>
        </w:rPr>
      </w:pPr>
    </w:p>
    <w:p w14:paraId="1309F052" w14:textId="77777777" w:rsidR="00375A98" w:rsidRPr="006E5B59" w:rsidRDefault="00375A98" w:rsidP="00375A98">
      <w:pPr>
        <w:tabs>
          <w:tab w:val="left" w:pos="90"/>
          <w:tab w:val="left" w:pos="9000"/>
        </w:tabs>
        <w:spacing w:after="0" w:line="240" w:lineRule="auto"/>
        <w:rPr>
          <w:rFonts w:ascii="Times New Roman" w:hAnsi="Times New Roman" w:cs="Times New Roman"/>
          <w:sz w:val="24"/>
          <w:szCs w:val="24"/>
        </w:rPr>
      </w:pPr>
      <w:r w:rsidRPr="006E5B59">
        <w:rPr>
          <w:rFonts w:ascii="Times New Roman" w:hAnsi="Times New Roman" w:cs="Times New Roman"/>
          <w:i/>
          <w:sz w:val="24"/>
          <w:szCs w:val="24"/>
        </w:rPr>
        <w:t xml:space="preserve"> 3) Focus on Active Learning.</w:t>
      </w:r>
      <w:r w:rsidRPr="006E5B59">
        <w:rPr>
          <w:rFonts w:ascii="Times New Roman" w:hAnsi="Times New Roman" w:cs="Times New Roman"/>
          <w:sz w:val="24"/>
          <w:szCs w:val="24"/>
        </w:rPr>
        <w:t xml:space="preserve"> In addition to engaging students through helping them see resonance between course constructs and their own personal and professional lives, I work to connect with them through active learning experiences. One of my favorite methods involves employing forms of digital media many students enjoy already, as in the following assignments and course activities:</w:t>
      </w:r>
    </w:p>
    <w:p w14:paraId="7F5545F8" w14:textId="77777777" w:rsidR="00375A98" w:rsidRPr="006E5B59" w:rsidRDefault="00375A98" w:rsidP="00375A98">
      <w:pPr>
        <w:pStyle w:val="BodyText"/>
        <w:numPr>
          <w:ilvl w:val="0"/>
          <w:numId w:val="2"/>
        </w:numPr>
        <w:tabs>
          <w:tab w:val="left" w:pos="540"/>
          <w:tab w:val="left" w:pos="9000"/>
        </w:tabs>
        <w:ind w:left="270" w:firstLine="0"/>
        <w:rPr>
          <w:rFonts w:cs="Times New Roman"/>
          <w:spacing w:val="5"/>
          <w:sz w:val="24"/>
          <w:szCs w:val="24"/>
        </w:rPr>
      </w:pPr>
      <w:r w:rsidRPr="006E5B59">
        <w:rPr>
          <w:rFonts w:cs="Times New Roman"/>
          <w:spacing w:val="5"/>
          <w:sz w:val="24"/>
          <w:szCs w:val="24"/>
        </w:rPr>
        <w:t xml:space="preserve">A </w:t>
      </w:r>
      <w:r w:rsidRPr="006E5B59">
        <w:rPr>
          <w:rFonts w:cs="Times New Roman"/>
          <w:i/>
          <w:spacing w:val="5"/>
          <w:sz w:val="24"/>
          <w:szCs w:val="24"/>
        </w:rPr>
        <w:t>Pinterest</w:t>
      </w:r>
      <w:r w:rsidRPr="006E5B59">
        <w:rPr>
          <w:rFonts w:cs="Times New Roman"/>
          <w:i/>
          <w:spacing w:val="-1"/>
          <w:sz w:val="24"/>
          <w:szCs w:val="24"/>
          <w:vertAlign w:val="superscript"/>
        </w:rPr>
        <w:t>©</w:t>
      </w:r>
      <w:r w:rsidRPr="006E5B59">
        <w:rPr>
          <w:rFonts w:cs="Times New Roman"/>
          <w:spacing w:val="5"/>
          <w:sz w:val="24"/>
          <w:szCs w:val="24"/>
        </w:rPr>
        <w:t xml:space="preserve"> activity to harness students’ interests and affinity for social media as they gather various materials for communication analysis and critique, </w:t>
      </w:r>
    </w:p>
    <w:p w14:paraId="056A38BC" w14:textId="77777777" w:rsidR="00375A98" w:rsidRPr="006E5B59" w:rsidRDefault="00375A98" w:rsidP="00375A98">
      <w:pPr>
        <w:pStyle w:val="BodyText"/>
        <w:numPr>
          <w:ilvl w:val="0"/>
          <w:numId w:val="2"/>
        </w:numPr>
        <w:tabs>
          <w:tab w:val="left" w:pos="540"/>
          <w:tab w:val="left" w:pos="9000"/>
        </w:tabs>
        <w:ind w:left="270" w:firstLine="0"/>
        <w:rPr>
          <w:rFonts w:cs="Times New Roman"/>
          <w:spacing w:val="5"/>
          <w:sz w:val="24"/>
          <w:szCs w:val="24"/>
        </w:rPr>
      </w:pPr>
      <w:r w:rsidRPr="006E5B59">
        <w:rPr>
          <w:rFonts w:cs="Times New Roman"/>
          <w:spacing w:val="5"/>
          <w:sz w:val="24"/>
          <w:szCs w:val="24"/>
        </w:rPr>
        <w:t>An outlining tutorial analyzing the main points, sub-points, and source material in an episode of “Ancient Aliens</w:t>
      </w:r>
      <w:r w:rsidRPr="006E5B59">
        <w:rPr>
          <w:rFonts w:cs="Times New Roman"/>
          <w:i/>
          <w:spacing w:val="-1"/>
          <w:sz w:val="24"/>
          <w:szCs w:val="24"/>
          <w:vertAlign w:val="superscript"/>
        </w:rPr>
        <w:t>©</w:t>
      </w:r>
      <w:r w:rsidRPr="006E5B59">
        <w:rPr>
          <w:rFonts w:cs="Times New Roman"/>
          <w:spacing w:val="5"/>
          <w:sz w:val="24"/>
          <w:szCs w:val="24"/>
        </w:rPr>
        <w:t xml:space="preserve">,” and </w:t>
      </w:r>
    </w:p>
    <w:p w14:paraId="570F30BA" w14:textId="77777777" w:rsidR="00375A98" w:rsidRPr="006E5B59" w:rsidRDefault="00375A98" w:rsidP="00375A98">
      <w:pPr>
        <w:pStyle w:val="BodyText"/>
        <w:numPr>
          <w:ilvl w:val="0"/>
          <w:numId w:val="2"/>
        </w:numPr>
        <w:tabs>
          <w:tab w:val="left" w:pos="540"/>
          <w:tab w:val="left" w:pos="9000"/>
        </w:tabs>
        <w:ind w:left="270" w:firstLine="0"/>
        <w:rPr>
          <w:rFonts w:cs="Times New Roman"/>
          <w:spacing w:val="5"/>
          <w:sz w:val="24"/>
          <w:szCs w:val="24"/>
        </w:rPr>
      </w:pPr>
      <w:r w:rsidRPr="006E5B59">
        <w:rPr>
          <w:rFonts w:cs="Times New Roman"/>
          <w:spacing w:val="5"/>
          <w:sz w:val="24"/>
          <w:szCs w:val="24"/>
        </w:rPr>
        <w:t xml:space="preserve">A literature review activity that engages students in topically-organizing and synthesizing quotations from online reviews of a business such as those on </w:t>
      </w:r>
      <w:r w:rsidRPr="006E5B59">
        <w:rPr>
          <w:rFonts w:cs="Times New Roman"/>
          <w:i/>
          <w:spacing w:val="5"/>
          <w:sz w:val="24"/>
          <w:szCs w:val="24"/>
        </w:rPr>
        <w:t>Yelp</w:t>
      </w:r>
      <w:r w:rsidRPr="006E5B59">
        <w:rPr>
          <w:rFonts w:cs="Times New Roman"/>
          <w:i/>
          <w:spacing w:val="-1"/>
          <w:sz w:val="24"/>
          <w:szCs w:val="24"/>
          <w:vertAlign w:val="superscript"/>
        </w:rPr>
        <w:t>©</w:t>
      </w:r>
      <w:r w:rsidRPr="006E5B59">
        <w:rPr>
          <w:rFonts w:cs="Times New Roman"/>
          <w:spacing w:val="5"/>
          <w:sz w:val="24"/>
          <w:szCs w:val="24"/>
        </w:rPr>
        <w:t xml:space="preserve">. </w:t>
      </w:r>
    </w:p>
    <w:p w14:paraId="7CCD44C1" w14:textId="77777777" w:rsidR="00375A98" w:rsidRPr="006E5B59" w:rsidRDefault="00375A98" w:rsidP="00375A98">
      <w:pPr>
        <w:pStyle w:val="BodyText"/>
        <w:tabs>
          <w:tab w:val="left" w:pos="540"/>
          <w:tab w:val="left" w:pos="9000"/>
        </w:tabs>
        <w:ind w:left="270"/>
        <w:rPr>
          <w:rFonts w:cs="Times New Roman"/>
          <w:spacing w:val="5"/>
          <w:sz w:val="24"/>
          <w:szCs w:val="24"/>
        </w:rPr>
      </w:pPr>
    </w:p>
    <w:p w14:paraId="69D3A39C" w14:textId="77777777" w:rsidR="00375A98" w:rsidRPr="006E5B59" w:rsidRDefault="00375A98" w:rsidP="00375A98">
      <w:pPr>
        <w:pStyle w:val="BodyText"/>
        <w:tabs>
          <w:tab w:val="left" w:pos="90"/>
          <w:tab w:val="left" w:pos="9000"/>
        </w:tabs>
        <w:ind w:left="0"/>
        <w:rPr>
          <w:rFonts w:cs="Times New Roman"/>
          <w:sz w:val="24"/>
          <w:szCs w:val="24"/>
        </w:rPr>
      </w:pPr>
      <w:r w:rsidRPr="006E5B59">
        <w:rPr>
          <w:rFonts w:cs="Times New Roman"/>
          <w:i/>
          <w:sz w:val="24"/>
          <w:szCs w:val="24"/>
        </w:rPr>
        <w:t>4) Course clarity.</w:t>
      </w:r>
      <w:r w:rsidRPr="006E5B59">
        <w:rPr>
          <w:rFonts w:cs="Times New Roman"/>
          <w:sz w:val="24"/>
          <w:szCs w:val="24"/>
        </w:rPr>
        <w:t xml:space="preserve"> I enjoy regular course reviews. This feedback from my peers, IDS, and SDSU’s Center for the Enhancement of Teaching and Learning (CETL) has strengthened my clarity in myriad ways, including reinforcing comprehension for a diverse array of learning styles </w:t>
      </w:r>
      <w:r w:rsidRPr="006E5B59">
        <w:rPr>
          <w:rFonts w:cs="Times New Roman"/>
          <w:sz w:val="24"/>
          <w:szCs w:val="24"/>
        </w:rPr>
        <w:lastRenderedPageBreak/>
        <w:t xml:space="preserve">by creating and harnessing a growing toolkit of online enhancements [e.g., </w:t>
      </w:r>
      <w:r w:rsidRPr="006E5B59">
        <w:rPr>
          <w:rFonts w:cs="Times New Roman"/>
          <w:spacing w:val="-1"/>
          <w:sz w:val="24"/>
          <w:szCs w:val="24"/>
        </w:rPr>
        <w:t>Frequently</w:t>
      </w:r>
      <w:r w:rsidRPr="006E5B59">
        <w:rPr>
          <w:rFonts w:cs="Times New Roman"/>
          <w:spacing w:val="2"/>
          <w:sz w:val="24"/>
          <w:szCs w:val="24"/>
        </w:rPr>
        <w:t xml:space="preserve"> </w:t>
      </w:r>
      <w:r w:rsidRPr="006E5B59">
        <w:rPr>
          <w:rFonts w:cs="Times New Roman"/>
          <w:spacing w:val="-1"/>
          <w:sz w:val="24"/>
          <w:szCs w:val="24"/>
        </w:rPr>
        <w:t>Asked</w:t>
      </w:r>
      <w:r w:rsidRPr="006E5B59">
        <w:rPr>
          <w:rFonts w:cs="Times New Roman"/>
          <w:sz w:val="24"/>
          <w:szCs w:val="24"/>
        </w:rPr>
        <w:t xml:space="preserve"> </w:t>
      </w:r>
      <w:r w:rsidRPr="006E5B59">
        <w:rPr>
          <w:rFonts w:cs="Times New Roman"/>
          <w:spacing w:val="-1"/>
          <w:sz w:val="24"/>
          <w:szCs w:val="24"/>
        </w:rPr>
        <w:t>Question</w:t>
      </w:r>
      <w:r w:rsidRPr="006E5B59">
        <w:rPr>
          <w:rFonts w:cs="Times New Roman"/>
          <w:sz w:val="24"/>
          <w:szCs w:val="24"/>
        </w:rPr>
        <w:t xml:space="preserve"> </w:t>
      </w:r>
      <w:r w:rsidRPr="006E5B59">
        <w:rPr>
          <w:rFonts w:cs="Times New Roman"/>
          <w:spacing w:val="-1"/>
          <w:sz w:val="24"/>
          <w:szCs w:val="24"/>
        </w:rPr>
        <w:t>(FAQ)</w:t>
      </w:r>
      <w:r w:rsidRPr="006E5B59">
        <w:rPr>
          <w:rFonts w:cs="Times New Roman"/>
          <w:spacing w:val="-2"/>
          <w:sz w:val="24"/>
          <w:szCs w:val="24"/>
        </w:rPr>
        <w:t xml:space="preserve"> </w:t>
      </w:r>
      <w:r w:rsidRPr="006E5B59">
        <w:rPr>
          <w:rFonts w:cs="Times New Roman"/>
          <w:spacing w:val="-1"/>
          <w:sz w:val="24"/>
          <w:szCs w:val="24"/>
        </w:rPr>
        <w:t>sheets</w:t>
      </w:r>
      <w:r w:rsidRPr="006E5B59">
        <w:rPr>
          <w:rFonts w:cs="Times New Roman"/>
          <w:sz w:val="24"/>
          <w:szCs w:val="24"/>
        </w:rPr>
        <w:t xml:space="preserve"> peppered with humor to help bolster students’ attention and recall of assignment details; and a </w:t>
      </w:r>
      <w:r w:rsidRPr="006E5B59">
        <w:rPr>
          <w:rFonts w:cs="Times New Roman"/>
          <w:i/>
          <w:sz w:val="24"/>
          <w:szCs w:val="24"/>
        </w:rPr>
        <w:t>YouTube</w:t>
      </w:r>
      <w:r w:rsidRPr="006E5B59">
        <w:rPr>
          <w:rFonts w:cs="Times New Roman"/>
          <w:i/>
          <w:spacing w:val="-1"/>
          <w:sz w:val="24"/>
          <w:szCs w:val="24"/>
          <w:vertAlign w:val="superscript"/>
        </w:rPr>
        <w:t>©</w:t>
      </w:r>
      <w:r w:rsidRPr="006E5B59">
        <w:rPr>
          <w:rFonts w:cs="Times New Roman"/>
          <w:sz w:val="24"/>
          <w:szCs w:val="24"/>
        </w:rPr>
        <w:t xml:space="preserve"> video tutorial I recorded to demonstrate tips for enhancing college-level reading skills—a tool CETL requested permission to share with my fellow instructors].</w:t>
      </w:r>
    </w:p>
    <w:p w14:paraId="77388F7B" w14:textId="77777777" w:rsidR="00375A98" w:rsidRPr="006E5B59" w:rsidRDefault="00375A98" w:rsidP="00375A98">
      <w:pPr>
        <w:pStyle w:val="BodyText"/>
        <w:tabs>
          <w:tab w:val="left" w:pos="90"/>
          <w:tab w:val="left" w:pos="9000"/>
        </w:tabs>
        <w:ind w:left="90"/>
        <w:rPr>
          <w:rFonts w:cs="Times New Roman"/>
          <w:sz w:val="24"/>
          <w:szCs w:val="24"/>
        </w:rPr>
      </w:pPr>
    </w:p>
    <w:p w14:paraId="4FE54C88" w14:textId="77777777" w:rsidR="00375A98" w:rsidRPr="006E5B59" w:rsidRDefault="00375A98" w:rsidP="00375A98">
      <w:pPr>
        <w:tabs>
          <w:tab w:val="left" w:pos="9000"/>
        </w:tabs>
        <w:spacing w:after="0" w:line="240" w:lineRule="auto"/>
        <w:rPr>
          <w:rFonts w:ascii="Times New Roman" w:hAnsi="Times New Roman" w:cs="Times New Roman"/>
          <w:sz w:val="24"/>
          <w:szCs w:val="24"/>
        </w:rPr>
      </w:pPr>
      <w:r w:rsidRPr="006E5B59">
        <w:rPr>
          <w:rFonts w:ascii="Times New Roman" w:hAnsi="Times New Roman" w:cs="Times New Roman"/>
          <w:b/>
          <w:sz w:val="24"/>
          <w:szCs w:val="24"/>
        </w:rPr>
        <w:t>Impacts:</w:t>
      </w:r>
      <w:r w:rsidRPr="006E5B59">
        <w:rPr>
          <w:rFonts w:ascii="Times New Roman" w:hAnsi="Times New Roman" w:cs="Times New Roman"/>
          <w:sz w:val="24"/>
          <w:szCs w:val="24"/>
        </w:rPr>
        <w:t xml:space="preserve"> My passion for</w:t>
      </w:r>
      <w:r w:rsidRPr="006E5B59">
        <w:rPr>
          <w:rFonts w:ascii="Times New Roman" w:hAnsi="Times New Roman" w:cs="Times New Roman"/>
          <w:spacing w:val="-1"/>
          <w:sz w:val="24"/>
          <w:szCs w:val="24"/>
        </w:rPr>
        <w:t xml:space="preserve"> fostering student success enhances my impact as a teacher both in and outside of my own classrooms through my consistent commitment to mentoring other teachers within the School of Communication and Journalism (COJO), at SDSU, and beyond. </w:t>
      </w:r>
      <w:r w:rsidRPr="006E5B59">
        <w:rPr>
          <w:rFonts w:ascii="Times New Roman" w:hAnsi="Times New Roman" w:cs="Times New Roman"/>
          <w:sz w:val="24"/>
          <w:szCs w:val="24"/>
        </w:rPr>
        <w:t>This</w:t>
      </w:r>
      <w:r w:rsidRPr="006E5B59">
        <w:rPr>
          <w:rFonts w:ascii="Times New Roman" w:hAnsi="Times New Roman" w:cs="Times New Roman"/>
          <w:spacing w:val="-1"/>
          <w:sz w:val="24"/>
          <w:szCs w:val="24"/>
        </w:rPr>
        <w:t xml:space="preserve"> passion is evidenced by the invited and peer-reviewed scholarship of teaching and learning (SOTL) presentations and scholarly journal articles listed in the research section of this document. Below are some of the most recent examples of scholarly activity that </w:t>
      </w:r>
      <w:r w:rsidRPr="006E5B59">
        <w:rPr>
          <w:rFonts w:ascii="Times New Roman" w:hAnsi="Times New Roman" w:cs="Times New Roman"/>
          <w:sz w:val="24"/>
          <w:szCs w:val="24"/>
        </w:rPr>
        <w:t>allows me to collaborate with and mentor other educators concerning topics of great need and interest to our discipline:</w:t>
      </w:r>
    </w:p>
    <w:p w14:paraId="2AB5D825" w14:textId="77777777" w:rsidR="00375A98" w:rsidRPr="006E5B59" w:rsidRDefault="00375A98" w:rsidP="00375A98">
      <w:pPr>
        <w:shd w:val="clear" w:color="auto" w:fill="FFFFFF"/>
        <w:tabs>
          <w:tab w:val="left" w:pos="9000"/>
        </w:tabs>
        <w:spacing w:after="0" w:line="240" w:lineRule="auto"/>
        <w:rPr>
          <w:rFonts w:ascii="Times New Roman" w:hAnsi="Times New Roman" w:cs="Times New Roman"/>
          <w:sz w:val="24"/>
          <w:szCs w:val="24"/>
        </w:rPr>
      </w:pPr>
    </w:p>
    <w:p w14:paraId="1D31DC02" w14:textId="77777777" w:rsidR="00375A98" w:rsidRPr="006E5B59" w:rsidRDefault="00375A98" w:rsidP="00375A98">
      <w:pPr>
        <w:pStyle w:val="ListParagraph"/>
        <w:widowControl w:val="0"/>
        <w:numPr>
          <w:ilvl w:val="0"/>
          <w:numId w:val="3"/>
        </w:numPr>
        <w:shd w:val="clear" w:color="auto" w:fill="FFFFFF"/>
        <w:tabs>
          <w:tab w:val="left" w:pos="9000"/>
        </w:tabs>
        <w:ind w:left="450" w:hanging="270"/>
        <w:contextualSpacing w:val="0"/>
      </w:pPr>
      <w:r w:rsidRPr="006E5B59">
        <w:t>I was invited to co-chair and help craft, present, and assess the previously-referenced November 2019 NCA Pre-Conference titled “Surviving and Thriving Teaching Communication Online.” All 30 spaces were sold out two months before the convention.</w:t>
      </w:r>
    </w:p>
    <w:p w14:paraId="1CD20707" w14:textId="77777777" w:rsidR="00375A98" w:rsidRPr="006E5B59" w:rsidRDefault="00375A98" w:rsidP="00375A98">
      <w:pPr>
        <w:pStyle w:val="ListParagraph"/>
        <w:shd w:val="clear" w:color="auto" w:fill="FFFFFF"/>
        <w:tabs>
          <w:tab w:val="left" w:pos="9000"/>
        </w:tabs>
        <w:ind w:left="450" w:hanging="270"/>
      </w:pPr>
    </w:p>
    <w:p w14:paraId="40646A44" w14:textId="77777777" w:rsidR="00375A98" w:rsidRPr="006E5B59" w:rsidRDefault="00375A98" w:rsidP="00375A98">
      <w:pPr>
        <w:pStyle w:val="ListParagraph"/>
        <w:widowControl w:val="0"/>
        <w:numPr>
          <w:ilvl w:val="0"/>
          <w:numId w:val="3"/>
        </w:numPr>
        <w:shd w:val="clear" w:color="auto" w:fill="FFFFFF"/>
        <w:tabs>
          <w:tab w:val="left" w:pos="9000"/>
        </w:tabs>
        <w:ind w:left="450" w:hanging="270"/>
        <w:contextualSpacing w:val="0"/>
      </w:pPr>
      <w:r w:rsidRPr="006E5B59">
        <w:t>At the suggestion of nationally-renowned Instructional Communication scholar and member of NCA’s Teaching and Learning Council (TLC) Cheri Simonds, I was invited to collaborate on a 2018 short course on classroom civility at our national convention. The course resulted in a 2019 peer-reviewed publication titled “Best Practices for Facilitating Difficult Dialogues in the Basic Communication Course,” as well as an invitation from SDSU’s Basic Communication Course Director to provide a training on this topic for COJO Graduate Teaching Assistants in Fall 2019.</w:t>
      </w:r>
    </w:p>
    <w:p w14:paraId="674D7A8F" w14:textId="77777777" w:rsidR="00375A98" w:rsidRPr="006E5B59" w:rsidRDefault="00375A98" w:rsidP="00375A98">
      <w:pPr>
        <w:pStyle w:val="ListParagraph"/>
        <w:shd w:val="clear" w:color="auto" w:fill="FFFFFF"/>
        <w:tabs>
          <w:tab w:val="left" w:pos="9000"/>
        </w:tabs>
        <w:ind w:left="450" w:hanging="270"/>
      </w:pPr>
    </w:p>
    <w:p w14:paraId="2263A135" w14:textId="77777777" w:rsidR="00375A98" w:rsidRPr="006E5B59" w:rsidRDefault="00375A98" w:rsidP="00375A98">
      <w:pPr>
        <w:pStyle w:val="ListParagraph"/>
        <w:widowControl w:val="0"/>
        <w:numPr>
          <w:ilvl w:val="0"/>
          <w:numId w:val="3"/>
        </w:numPr>
        <w:shd w:val="clear" w:color="auto" w:fill="FFFFFF"/>
        <w:tabs>
          <w:tab w:val="left" w:pos="9000"/>
        </w:tabs>
        <w:ind w:left="450" w:hanging="270"/>
        <w:contextualSpacing w:val="0"/>
      </w:pPr>
      <w:r w:rsidRPr="006E5B59">
        <w:t xml:space="preserve">The </w:t>
      </w:r>
      <w:r w:rsidRPr="006E5B59">
        <w:rPr>
          <w:i/>
        </w:rPr>
        <w:t>Pinterest</w:t>
      </w:r>
      <w:r w:rsidRPr="006E5B59">
        <w:rPr>
          <w:spacing w:val="5"/>
        </w:rPr>
        <w:t>©</w:t>
      </w:r>
      <w:r w:rsidRPr="006E5B59">
        <w:t xml:space="preserve"> article referenced earlier resulted from a 2018 email invitation I received from Vinita Agarwal, another member of NCA's Teaching and Learning Council. Her email stated, “Based on your work on innovative ways of engaging learners, I wanted to extend an invitation to you to contribute a short white paper on a specific instructional technology.” This article now appears on the NCA website as part of their “e-Tools Essay Series.”</w:t>
      </w:r>
    </w:p>
    <w:p w14:paraId="632C3F40" w14:textId="77777777" w:rsidR="00375A98" w:rsidRPr="006E5B59" w:rsidRDefault="00375A98" w:rsidP="00375A98">
      <w:pPr>
        <w:pStyle w:val="ListParagraph"/>
        <w:shd w:val="clear" w:color="auto" w:fill="FFFFFF"/>
        <w:tabs>
          <w:tab w:val="left" w:pos="9000"/>
        </w:tabs>
        <w:ind w:left="450" w:hanging="270"/>
      </w:pPr>
    </w:p>
    <w:p w14:paraId="338361A7" w14:textId="77777777" w:rsidR="00375A98" w:rsidRPr="006E5B59" w:rsidRDefault="00375A98" w:rsidP="00375A98">
      <w:pPr>
        <w:pStyle w:val="ListParagraph"/>
        <w:widowControl w:val="0"/>
        <w:numPr>
          <w:ilvl w:val="0"/>
          <w:numId w:val="3"/>
        </w:numPr>
        <w:shd w:val="clear" w:color="auto" w:fill="FFFFFF"/>
        <w:tabs>
          <w:tab w:val="left" w:pos="9000"/>
        </w:tabs>
        <w:ind w:left="450" w:hanging="270"/>
        <w:contextualSpacing w:val="0"/>
      </w:pPr>
      <w:r w:rsidRPr="006E5B59">
        <w:t xml:space="preserve">As a result of the notoriety and impact of our previous SOTL and assessment work, my colleague Dr. Joshua Westwick and I were invited to serve on a multi-institutional, national assessment team for the Basic/Foundational Communication Course. This work resulted in a 2016 NCA </w:t>
      </w:r>
      <w:r w:rsidRPr="006E5B59">
        <w:rPr>
          <w:i/>
        </w:rPr>
        <w:t>Advancing the Discipline</w:t>
      </w:r>
      <w:r w:rsidRPr="006E5B59">
        <w:t xml:space="preserve"> Grant, a 2018 NCA panel presentation, a 2019 NCA poster presentation, and the forthcoming peer-reviewed article, “Measuring Essential Learning Outcomes for Public Speaking” in the </w:t>
      </w:r>
      <w:r w:rsidRPr="006E5B59">
        <w:rPr>
          <w:i/>
        </w:rPr>
        <w:t xml:space="preserve">Basic Communication Course Annual </w:t>
      </w:r>
      <w:r w:rsidRPr="006E5B59">
        <w:t>(in press).</w:t>
      </w:r>
    </w:p>
    <w:p w14:paraId="5246109E" w14:textId="77777777" w:rsidR="00375A98" w:rsidRPr="006E5B59" w:rsidRDefault="00375A98" w:rsidP="00375A98">
      <w:pPr>
        <w:tabs>
          <w:tab w:val="left" w:pos="9000"/>
        </w:tabs>
        <w:spacing w:after="0" w:line="240" w:lineRule="auto"/>
        <w:rPr>
          <w:rFonts w:ascii="Times New Roman" w:hAnsi="Times New Roman" w:cs="Times New Roman"/>
          <w:sz w:val="24"/>
          <w:szCs w:val="24"/>
        </w:rPr>
      </w:pPr>
    </w:p>
    <w:p w14:paraId="2B478F77" w14:textId="3509A085" w:rsidR="00375A98" w:rsidRPr="00BD01F2" w:rsidRDefault="00375A98" w:rsidP="00BD01F2">
      <w:pPr>
        <w:tabs>
          <w:tab w:val="left" w:pos="9000"/>
        </w:tabs>
        <w:spacing w:after="0" w:line="240" w:lineRule="auto"/>
        <w:rPr>
          <w:rFonts w:ascii="Times New Roman" w:hAnsi="Times New Roman" w:cs="Times New Roman"/>
          <w:sz w:val="24"/>
          <w:szCs w:val="24"/>
        </w:rPr>
      </w:pPr>
      <w:r w:rsidRPr="006E5B59">
        <w:rPr>
          <w:rFonts w:ascii="Times New Roman" w:hAnsi="Times New Roman" w:cs="Times New Roman"/>
          <w:sz w:val="24"/>
          <w:szCs w:val="24"/>
        </w:rPr>
        <w:t xml:space="preserve">Perhaps my most rewarding example of teaching impact has been my past </w:t>
      </w:r>
      <w:r w:rsidR="00DA37A1">
        <w:rPr>
          <w:rFonts w:ascii="Times New Roman" w:hAnsi="Times New Roman" w:cs="Times New Roman"/>
          <w:sz w:val="24"/>
          <w:szCs w:val="24"/>
        </w:rPr>
        <w:t>six</w:t>
      </w:r>
      <w:r w:rsidRPr="006E5B59">
        <w:rPr>
          <w:rFonts w:ascii="Times New Roman" w:hAnsi="Times New Roman" w:cs="Times New Roman"/>
          <w:sz w:val="24"/>
          <w:szCs w:val="24"/>
        </w:rPr>
        <w:t xml:space="preserve"> years’ </w:t>
      </w:r>
      <w:r w:rsidR="00DA37A1">
        <w:rPr>
          <w:rFonts w:ascii="Times New Roman" w:hAnsi="Times New Roman" w:cs="Times New Roman"/>
          <w:sz w:val="24"/>
          <w:szCs w:val="24"/>
        </w:rPr>
        <w:t xml:space="preserve">working with Native American students and fellow instructors. This work started when I was invited to design courses that allowed me to </w:t>
      </w:r>
      <w:r w:rsidRPr="006E5B59">
        <w:rPr>
          <w:rFonts w:ascii="Times New Roman" w:hAnsi="Times New Roman" w:cs="Times New Roman"/>
          <w:sz w:val="24"/>
          <w:szCs w:val="24"/>
        </w:rPr>
        <w:t>teach</w:t>
      </w:r>
      <w:r w:rsidR="00DA37A1">
        <w:rPr>
          <w:rFonts w:ascii="Times New Roman" w:hAnsi="Times New Roman" w:cs="Times New Roman"/>
          <w:sz w:val="24"/>
          <w:szCs w:val="24"/>
        </w:rPr>
        <w:t xml:space="preserve"> as well as </w:t>
      </w:r>
      <w:r w:rsidRPr="006E5B59">
        <w:rPr>
          <w:rFonts w:ascii="Times New Roman" w:hAnsi="Times New Roman" w:cs="Times New Roman"/>
          <w:sz w:val="24"/>
          <w:szCs w:val="24"/>
        </w:rPr>
        <w:t xml:space="preserve">learn from Tribal College and University (TCU) faculty members while helping them maintain their institutions’ Higher Learning Commission (HLC) credentialing. Since 2016, I have collaborated with faculty and administrators from SDSU as well as North and South Dakota’s TCUs to design and deliver </w:t>
      </w:r>
      <w:r w:rsidRPr="006E5B59">
        <w:rPr>
          <w:rFonts w:ascii="Times New Roman" w:hAnsi="Times New Roman" w:cs="Times New Roman"/>
          <w:sz w:val="24"/>
          <w:szCs w:val="24"/>
        </w:rPr>
        <w:lastRenderedPageBreak/>
        <w:t xml:space="preserve">online, multi-student, independent study courses in communication studies. These courses offer faculty/students graduate-level credit for applying communication theory-framed insights to mitigate educational challenges for themselves and for their own students. Resonant with </w:t>
      </w:r>
      <w:r w:rsidRPr="006E5B59">
        <w:rPr>
          <w:rFonts w:ascii="Times New Roman" w:hAnsi="Times New Roman" w:cs="Times New Roman"/>
          <w:sz w:val="24"/>
          <w:szCs w:val="24"/>
          <w:shd w:val="clear" w:color="auto" w:fill="FFFFFF"/>
        </w:rPr>
        <w:t>SDSU’s current strategic plan</w:t>
      </w:r>
      <w:r w:rsidRPr="006E5B59">
        <w:rPr>
          <w:rFonts w:ascii="Times New Roman" w:hAnsi="Times New Roman" w:cs="Times New Roman"/>
          <w:i/>
          <w:sz w:val="24"/>
          <w:szCs w:val="24"/>
          <w:shd w:val="clear" w:color="auto" w:fill="FFFFFF"/>
        </w:rPr>
        <w:t xml:space="preserve">, Imagine 2023 </w:t>
      </w:r>
      <w:r w:rsidRPr="006E5B59">
        <w:rPr>
          <w:rFonts w:ascii="Times New Roman" w:hAnsi="Times New Roman" w:cs="Times New Roman"/>
          <w:sz w:val="24"/>
          <w:szCs w:val="24"/>
          <w:shd w:val="clear" w:color="auto" w:fill="FFFFFF"/>
        </w:rPr>
        <w:t>(</w:t>
      </w:r>
      <w:r w:rsidRPr="006E5B59">
        <w:rPr>
          <w:rFonts w:ascii="Times New Roman" w:hAnsi="Times New Roman" w:cs="Times New Roman"/>
          <w:sz w:val="24"/>
          <w:szCs w:val="24"/>
        </w:rPr>
        <w:t xml:space="preserve">Key Performance Indicator #3: </w:t>
      </w:r>
      <w:hyperlink r:id="rId5" w:anchor="sect2" w:history="1">
        <w:r w:rsidRPr="006E5B59">
          <w:rPr>
            <w:rFonts w:ascii="Times New Roman" w:hAnsi="Times New Roman" w:cs="Times New Roman"/>
            <w:sz w:val="24"/>
            <w:szCs w:val="24"/>
          </w:rPr>
          <w:t>Cultivate and Strengthen Community Engagement</w:t>
        </w:r>
      </w:hyperlink>
      <w:r w:rsidRPr="006E5B59">
        <w:rPr>
          <w:rFonts w:ascii="Times New Roman" w:hAnsi="Times New Roman" w:cs="Times New Roman"/>
          <w:sz w:val="24"/>
          <w:szCs w:val="24"/>
        </w:rPr>
        <w:t>)</w:t>
      </w:r>
      <w:r w:rsidRPr="006E5B59">
        <w:rPr>
          <w:rFonts w:ascii="Times New Roman" w:hAnsi="Times New Roman" w:cs="Times New Roman"/>
          <w:sz w:val="24"/>
          <w:szCs w:val="24"/>
          <w:shd w:val="clear" w:color="auto" w:fill="FFFFFF"/>
        </w:rPr>
        <w:t xml:space="preserve">, </w:t>
      </w:r>
      <w:r w:rsidRPr="006E5B59">
        <w:rPr>
          <w:rFonts w:ascii="Times New Roman" w:hAnsi="Times New Roman" w:cs="Times New Roman"/>
          <w:sz w:val="24"/>
          <w:szCs w:val="24"/>
        </w:rPr>
        <w:t>this work “</w:t>
      </w:r>
      <w:r w:rsidRPr="006E5B59">
        <w:rPr>
          <w:rFonts w:ascii="Times New Roman" w:hAnsi="Times New Roman" w:cs="Times New Roman"/>
          <w:sz w:val="24"/>
          <w:szCs w:val="24"/>
          <w:shd w:val="clear" w:color="auto" w:fill="FFFFFF"/>
        </w:rPr>
        <w:t xml:space="preserve">Align[s] academic and outreach programming across the university to optimize institutional efforts to support tribal communities and underserved populations.” </w:t>
      </w:r>
      <w:r w:rsidRPr="006E5B59">
        <w:rPr>
          <w:rFonts w:ascii="Times New Roman" w:hAnsi="Times New Roman" w:cs="Times New Roman"/>
          <w:sz w:val="24"/>
          <w:szCs w:val="24"/>
        </w:rPr>
        <w:t xml:space="preserve">As a direct result of this outreach, I have been awarded two SDSU </w:t>
      </w:r>
      <w:r w:rsidRPr="006E5B59">
        <w:rPr>
          <w:rFonts w:ascii="Times New Roman" w:hAnsi="Times New Roman" w:cs="Times New Roman"/>
          <w:i/>
          <w:sz w:val="24"/>
          <w:szCs w:val="24"/>
        </w:rPr>
        <w:t>Expanding the Circle</w:t>
      </w:r>
      <w:r w:rsidRPr="006E5B59">
        <w:rPr>
          <w:rFonts w:ascii="Times New Roman" w:hAnsi="Times New Roman" w:cs="Times New Roman"/>
          <w:sz w:val="24"/>
          <w:szCs w:val="24"/>
        </w:rPr>
        <w:t xml:space="preserve"> stipends for creating online graduate opportunities, a $9960 grant from the Waterhouse Family Institute</w:t>
      </w:r>
      <w:r w:rsidR="001317DF">
        <w:rPr>
          <w:rFonts w:ascii="Times New Roman" w:hAnsi="Times New Roman" w:cs="Times New Roman"/>
          <w:sz w:val="24"/>
          <w:szCs w:val="24"/>
        </w:rPr>
        <w:t xml:space="preserve">, and a $6600 Wokini Challenge Grant. </w:t>
      </w:r>
      <w:r w:rsidRPr="006E5B59">
        <w:rPr>
          <w:rFonts w:ascii="Times New Roman" w:hAnsi="Times New Roman" w:cs="Times New Roman"/>
          <w:sz w:val="24"/>
          <w:szCs w:val="24"/>
        </w:rPr>
        <w:t xml:space="preserve">Through these endeavors, I look forward to deepening my connections with SDSU’s </w:t>
      </w:r>
      <w:r w:rsidRPr="006E5B59">
        <w:rPr>
          <w:rFonts w:ascii="Times New Roman" w:hAnsi="Times New Roman" w:cs="Times New Roman"/>
          <w:i/>
          <w:sz w:val="24"/>
          <w:szCs w:val="24"/>
        </w:rPr>
        <w:t xml:space="preserve">Wokini </w:t>
      </w:r>
      <w:r w:rsidRPr="006E5B59">
        <w:rPr>
          <w:rFonts w:ascii="Times New Roman" w:hAnsi="Times New Roman" w:cs="Times New Roman"/>
          <w:sz w:val="24"/>
          <w:szCs w:val="24"/>
        </w:rPr>
        <w:t>initiative, “</w:t>
      </w:r>
      <w:r w:rsidRPr="006E5B59">
        <w:rPr>
          <w:rFonts w:ascii="Times New Roman" w:hAnsi="Times New Roman" w:cs="Times New Roman"/>
          <w:sz w:val="24"/>
          <w:szCs w:val="24"/>
          <w:shd w:val="clear" w:color="auto" w:fill="FFFFFF"/>
        </w:rPr>
        <w:t>SDSU’s collaborative and holistic framework to support American Indian student success and Indigenous Nation-building.”</w:t>
      </w:r>
      <w:r w:rsidRPr="006E5B59">
        <w:rPr>
          <w:rFonts w:ascii="Times New Roman" w:hAnsi="Times New Roman" w:cs="Times New Roman"/>
          <w:sz w:val="24"/>
          <w:szCs w:val="24"/>
        </w:rPr>
        <w:t xml:space="preserve"> </w:t>
      </w:r>
      <w:r w:rsidRPr="006E5B59">
        <w:rPr>
          <w:rFonts w:ascii="Times New Roman" w:hAnsi="Times New Roman" w:cs="Times New Roman"/>
          <w:spacing w:val="-1"/>
          <w:sz w:val="24"/>
          <w:szCs w:val="24"/>
        </w:rPr>
        <w:t>My goal in this effort, as in all my teaching, is to advance student growth and my contributions to</w:t>
      </w:r>
      <w:r w:rsidR="00DA37A1">
        <w:rPr>
          <w:rFonts w:ascii="Times New Roman" w:hAnsi="Times New Roman" w:cs="Times New Roman"/>
          <w:spacing w:val="-1"/>
          <w:sz w:val="24"/>
          <w:szCs w:val="24"/>
        </w:rPr>
        <w:t xml:space="preserve"> communication education </w:t>
      </w:r>
      <w:r w:rsidRPr="006E5B59">
        <w:rPr>
          <w:rFonts w:ascii="Times New Roman" w:hAnsi="Times New Roman" w:cs="Times New Roman"/>
          <w:spacing w:val="-1"/>
          <w:sz w:val="24"/>
          <w:szCs w:val="24"/>
        </w:rPr>
        <w:t>and</w:t>
      </w:r>
      <w:r w:rsidR="00315933">
        <w:rPr>
          <w:rFonts w:ascii="Times New Roman" w:hAnsi="Times New Roman" w:cs="Times New Roman"/>
          <w:spacing w:val="-1"/>
          <w:sz w:val="24"/>
          <w:szCs w:val="24"/>
        </w:rPr>
        <w:t xml:space="preserve"> across</w:t>
      </w:r>
      <w:r w:rsidRPr="006E5B59">
        <w:rPr>
          <w:rFonts w:ascii="Times New Roman" w:hAnsi="Times New Roman" w:cs="Times New Roman"/>
          <w:spacing w:val="-1"/>
          <w:sz w:val="24"/>
          <w:szCs w:val="24"/>
        </w:rPr>
        <w:t xml:space="preserve"> the </w:t>
      </w:r>
      <w:r w:rsidR="00315933" w:rsidRPr="006E5B59">
        <w:rPr>
          <w:rFonts w:ascii="Times New Roman" w:hAnsi="Times New Roman" w:cs="Times New Roman"/>
          <w:spacing w:val="-1"/>
          <w:sz w:val="24"/>
          <w:szCs w:val="24"/>
        </w:rPr>
        <w:t>academy</w:t>
      </w:r>
      <w:r w:rsidRPr="006E5B59">
        <w:rPr>
          <w:rFonts w:ascii="Times New Roman" w:hAnsi="Times New Roman" w:cs="Times New Roman"/>
          <w:spacing w:val="-1"/>
          <w:sz w:val="24"/>
          <w:szCs w:val="24"/>
        </w:rPr>
        <w:t xml:space="preserve">. </w:t>
      </w:r>
      <w:r w:rsidR="00DA37A1">
        <w:rPr>
          <w:rFonts w:ascii="Times New Roman" w:hAnsi="Times New Roman" w:cs="Times New Roman"/>
          <w:spacing w:val="-3"/>
          <w:sz w:val="24"/>
          <w:szCs w:val="24"/>
        </w:rPr>
        <w:t>Through</w:t>
      </w:r>
      <w:r w:rsidRPr="006E5B59">
        <w:rPr>
          <w:rFonts w:ascii="Times New Roman" w:hAnsi="Times New Roman" w:cs="Times New Roman"/>
          <w:spacing w:val="-3"/>
          <w:sz w:val="24"/>
          <w:szCs w:val="24"/>
        </w:rPr>
        <w:t xml:space="preserve"> my teaching philosophy, methods, impact, and assessment</w:t>
      </w:r>
      <w:r w:rsidR="00DA37A1">
        <w:rPr>
          <w:rFonts w:ascii="Times New Roman" w:hAnsi="Times New Roman" w:cs="Times New Roman"/>
          <w:spacing w:val="-3"/>
          <w:sz w:val="24"/>
          <w:szCs w:val="24"/>
        </w:rPr>
        <w:t xml:space="preserve">, I continue to aspire </w:t>
      </w:r>
      <w:r w:rsidRPr="006E5B59">
        <w:rPr>
          <w:rFonts w:ascii="Times New Roman" w:hAnsi="Times New Roman" w:cs="Times New Roman"/>
          <w:spacing w:val="-2"/>
          <w:sz w:val="24"/>
          <w:szCs w:val="24"/>
        </w:rPr>
        <w:t xml:space="preserve">to </w:t>
      </w:r>
      <w:r w:rsidRPr="006E5B59">
        <w:rPr>
          <w:rFonts w:ascii="Times New Roman" w:hAnsi="Times New Roman" w:cs="Times New Roman"/>
          <w:spacing w:val="-1"/>
          <w:sz w:val="24"/>
          <w:szCs w:val="24"/>
        </w:rPr>
        <w:t>befriend, enlighten, and learn</w:t>
      </w:r>
      <w:r w:rsidRPr="006E5B59">
        <w:rPr>
          <w:rFonts w:ascii="Times New Roman" w:hAnsi="Times New Roman" w:cs="Times New Roman"/>
          <w:sz w:val="24"/>
          <w:szCs w:val="24"/>
        </w:rPr>
        <w:t xml:space="preserve"> from my students.</w:t>
      </w:r>
      <w:r w:rsidRPr="006E5B59">
        <w:rPr>
          <w:rFonts w:ascii="Times New Roman" w:hAnsi="Times New Roman" w:cs="Times New Roman"/>
          <w:spacing w:val="-3"/>
          <w:sz w:val="24"/>
          <w:szCs w:val="24"/>
        </w:rPr>
        <w:t xml:space="preserve"> </w:t>
      </w:r>
      <w:r w:rsidRPr="006E5B59">
        <w:rPr>
          <w:rFonts w:ascii="Times New Roman" w:hAnsi="Times New Roman" w:cs="Times New Roman"/>
          <w:spacing w:val="-2"/>
          <w:sz w:val="24"/>
          <w:szCs w:val="24"/>
        </w:rPr>
        <w:t xml:space="preserve"> </w:t>
      </w:r>
    </w:p>
    <w:sectPr w:rsidR="00375A98" w:rsidRPr="00BD01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564C9"/>
    <w:multiLevelType w:val="hybridMultilevel"/>
    <w:tmpl w:val="82404CDC"/>
    <w:lvl w:ilvl="0" w:tplc="EFA8B96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1DA70A4"/>
    <w:multiLevelType w:val="hybridMultilevel"/>
    <w:tmpl w:val="301E76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E0008B5"/>
    <w:multiLevelType w:val="hybridMultilevel"/>
    <w:tmpl w:val="F126FC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19014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9921108">
    <w:abstractNumId w:val="1"/>
  </w:num>
  <w:num w:numId="3" w16cid:durableId="482549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A98"/>
    <w:rsid w:val="001317DF"/>
    <w:rsid w:val="00315933"/>
    <w:rsid w:val="00375A98"/>
    <w:rsid w:val="006E5B59"/>
    <w:rsid w:val="00A10F65"/>
    <w:rsid w:val="00BD01F2"/>
    <w:rsid w:val="00BD6185"/>
    <w:rsid w:val="00DA3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FFCB3"/>
  <w15:chartTrackingRefBased/>
  <w15:docId w15:val="{1CAFCD4D-BF72-4F59-92C2-3AA46817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A98"/>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375A98"/>
    <w:pPr>
      <w:widowControl w:val="0"/>
      <w:spacing w:after="0" w:line="240" w:lineRule="auto"/>
      <w:ind w:left="100"/>
    </w:pPr>
    <w:rPr>
      <w:rFonts w:ascii="Times New Roman" w:eastAsia="Times New Roman" w:hAnsi="Times New Roman"/>
    </w:rPr>
  </w:style>
  <w:style w:type="character" w:customStyle="1" w:styleId="BodyTextChar">
    <w:name w:val="Body Text Char"/>
    <w:basedOn w:val="DefaultParagraphFont"/>
    <w:link w:val="BodyText"/>
    <w:uiPriority w:val="1"/>
    <w:rsid w:val="00375A98"/>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4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dstate.edu/imagine-2023-aspire-discover-achieve/key-performance-indi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1217</Words>
  <Characters>6942</Characters>
  <Application>Microsoft Office Word</Application>
  <DocSecurity>0</DocSecurity>
  <Lines>57</Lines>
  <Paragraphs>16</Paragraphs>
  <ScaleCrop>false</ScaleCrop>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Karla</dc:creator>
  <cp:keywords/>
  <dc:description/>
  <cp:lastModifiedBy>Hunter, Karla</cp:lastModifiedBy>
  <cp:revision>7</cp:revision>
  <dcterms:created xsi:type="dcterms:W3CDTF">2023-01-16T16:54:00Z</dcterms:created>
  <dcterms:modified xsi:type="dcterms:W3CDTF">2023-01-16T17:04:00Z</dcterms:modified>
</cp:coreProperties>
</file>